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06EBE" w14:textId="3797EB1F" w:rsidR="00D545DF" w:rsidRDefault="00B803FF">
      <w:proofErr w:type="spellStart"/>
      <w:r>
        <w:t>Гнат</w:t>
      </w:r>
      <w:proofErr w:type="spellEnd"/>
      <w:r>
        <w:t xml:space="preserve"> Хоткевич</w:t>
      </w:r>
    </w:p>
    <w:p w14:paraId="0721BCE7" w14:textId="2070880B" w:rsidR="00154EE3" w:rsidRDefault="00154EE3">
      <w:r>
        <w:t>(1878-1938)</w:t>
      </w:r>
    </w:p>
    <w:p w14:paraId="152B9A5D" w14:textId="77777777" w:rsidR="00B803FF" w:rsidRPr="00154EE3" w:rsidRDefault="00B803FF" w:rsidP="00154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EE3">
        <w:rPr>
          <w:rFonts w:ascii="Times New Roman" w:hAnsi="Times New Roman" w:cs="Times New Roman"/>
          <w:sz w:val="24"/>
          <w:szCs w:val="24"/>
        </w:rPr>
        <w:t>С</w:t>
      </w:r>
      <w:r w:rsidRPr="00B803FF">
        <w:rPr>
          <w:rFonts w:ascii="Times New Roman" w:hAnsi="Times New Roman" w:cs="Times New Roman"/>
          <w:sz w:val="24"/>
          <w:szCs w:val="24"/>
        </w:rPr>
        <w:t xml:space="preserve">лаветний українець </w:t>
      </w:r>
      <w:proofErr w:type="spellStart"/>
      <w:r w:rsidRPr="00B803FF">
        <w:rPr>
          <w:rFonts w:ascii="Times New Roman" w:hAnsi="Times New Roman" w:cs="Times New Roman"/>
          <w:sz w:val="24"/>
          <w:szCs w:val="24"/>
        </w:rPr>
        <w:t>Гнат</w:t>
      </w:r>
      <w:proofErr w:type="spellEnd"/>
      <w:r w:rsidRPr="00B803FF">
        <w:rPr>
          <w:rFonts w:ascii="Times New Roman" w:hAnsi="Times New Roman" w:cs="Times New Roman"/>
          <w:sz w:val="24"/>
          <w:szCs w:val="24"/>
        </w:rPr>
        <w:t xml:space="preserve"> Хоткевич</w:t>
      </w:r>
      <w:r w:rsidRPr="00154EE3">
        <w:rPr>
          <w:rFonts w:ascii="Times New Roman" w:hAnsi="Times New Roman" w:cs="Times New Roman"/>
          <w:sz w:val="24"/>
          <w:szCs w:val="24"/>
        </w:rPr>
        <w:t xml:space="preserve"> -</w:t>
      </w:r>
      <w:r w:rsidRPr="00B803FF">
        <w:rPr>
          <w:rFonts w:ascii="Times New Roman" w:hAnsi="Times New Roman" w:cs="Times New Roman"/>
          <w:sz w:val="24"/>
          <w:szCs w:val="24"/>
        </w:rPr>
        <w:t xml:space="preserve"> </w:t>
      </w:r>
      <w:r w:rsidRPr="00154EE3">
        <w:rPr>
          <w:rFonts w:ascii="Times New Roman" w:hAnsi="Times New Roman" w:cs="Times New Roman"/>
          <w:sz w:val="24"/>
          <w:szCs w:val="24"/>
        </w:rPr>
        <w:t>а</w:t>
      </w:r>
      <w:r w:rsidRPr="00B803FF">
        <w:rPr>
          <w:rFonts w:ascii="Times New Roman" w:hAnsi="Times New Roman" w:cs="Times New Roman"/>
          <w:sz w:val="24"/>
          <w:szCs w:val="24"/>
        </w:rPr>
        <w:t xml:space="preserve">втор і композитор близько 600 музичних творів, відомий світові як віртуозний бандурист, засновник харківської школи бандури. </w:t>
      </w:r>
    </w:p>
    <w:p w14:paraId="17AA6028" w14:textId="77777777" w:rsidR="00154EE3" w:rsidRPr="00154EE3" w:rsidRDefault="00B803FF" w:rsidP="00154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3FF">
        <w:rPr>
          <w:rFonts w:ascii="Times New Roman" w:hAnsi="Times New Roman" w:cs="Times New Roman"/>
          <w:sz w:val="24"/>
          <w:szCs w:val="24"/>
        </w:rPr>
        <w:t>Критики та літературознавці говорили про нього “самородок”, настільки обдарованою був він людиною. Йому давалися усі предмети, тому легко вступив до Харківського технологічного інституту.</w:t>
      </w:r>
      <w:r w:rsidRPr="00154EE3">
        <w:rPr>
          <w:rFonts w:ascii="Times New Roman" w:hAnsi="Times New Roman" w:cs="Times New Roman"/>
          <w:sz w:val="24"/>
          <w:szCs w:val="24"/>
        </w:rPr>
        <w:t xml:space="preserve"> </w:t>
      </w:r>
      <w:r w:rsidRPr="00B803FF">
        <w:rPr>
          <w:rFonts w:ascii="Times New Roman" w:hAnsi="Times New Roman" w:cs="Times New Roman"/>
          <w:sz w:val="24"/>
          <w:szCs w:val="24"/>
        </w:rPr>
        <w:t>У 1902 році на археологічній конференції уродженець Слобожанського краю відкрився і як етнограф. Він писав, думав і говорив українською, і саме за своє “українство” розділив сумну долю багатьох кобзарів, </w:t>
      </w:r>
      <w:hyperlink r:id="rId6" w:tgtFrame="_blank" w:history="1">
        <w:r w:rsidRPr="00B803FF">
          <w:rPr>
            <w:rStyle w:val="ae"/>
            <w:rFonts w:ascii="Times New Roman" w:hAnsi="Times New Roman" w:cs="Times New Roman"/>
            <w:b/>
            <w:bCs/>
            <w:sz w:val="24"/>
            <w:szCs w:val="24"/>
          </w:rPr>
          <w:t>бандуристів</w:t>
        </w:r>
      </w:hyperlink>
      <w:r w:rsidRPr="00B803FF">
        <w:rPr>
          <w:rFonts w:ascii="Times New Roman" w:hAnsi="Times New Roman" w:cs="Times New Roman"/>
          <w:sz w:val="24"/>
          <w:szCs w:val="24"/>
        </w:rPr>
        <w:t>, лірників</w:t>
      </w:r>
      <w:r w:rsidR="00154EE3" w:rsidRPr="00154EE3">
        <w:rPr>
          <w:rFonts w:ascii="Times New Roman" w:hAnsi="Times New Roman" w:cs="Times New Roman"/>
          <w:sz w:val="24"/>
          <w:szCs w:val="24"/>
        </w:rPr>
        <w:t>. Автор</w:t>
      </w:r>
      <w:r w:rsidRPr="00B803FF">
        <w:rPr>
          <w:rFonts w:ascii="Times New Roman" w:hAnsi="Times New Roman" w:cs="Times New Roman"/>
          <w:sz w:val="24"/>
          <w:szCs w:val="24"/>
        </w:rPr>
        <w:t xml:space="preserve"> понад 300 авторських творів, в тому числі низка книг по українським народним інструментам. Серед них: оповідання “Блудний син”, “Гуцульські образки”, збірка “Гірські акварелі”, нарис “Григорій Савич Сковорода”, цикл “Творів” у 8 томах. Найяскравішим твором називають повість про гуцульське життя під назвою “Камінна душа”, історична п’єса “О полку Ігоревім” і тетралогія “Богдан Хмельницький”</w:t>
      </w:r>
      <w:r w:rsidR="00154EE3" w:rsidRPr="00154EE3">
        <w:rPr>
          <w:rFonts w:ascii="Times New Roman" w:hAnsi="Times New Roman" w:cs="Times New Roman"/>
          <w:sz w:val="24"/>
          <w:szCs w:val="24"/>
        </w:rPr>
        <w:t>.</w:t>
      </w:r>
    </w:p>
    <w:p w14:paraId="7A77AB17" w14:textId="7E378A23" w:rsidR="00B803FF" w:rsidRPr="00B803FF" w:rsidRDefault="00B803FF" w:rsidP="00B803FF">
      <w:r w:rsidRPr="00B803FF">
        <w:t xml:space="preserve"> </w:t>
      </w:r>
    </w:p>
    <w:p w14:paraId="2ABF17A1" w14:textId="77777777" w:rsidR="00B803FF" w:rsidRDefault="00B803FF"/>
    <w:sectPr w:rsidR="00B803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7259E"/>
    <w:multiLevelType w:val="multilevel"/>
    <w:tmpl w:val="94A8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87CD8"/>
    <w:multiLevelType w:val="multilevel"/>
    <w:tmpl w:val="791A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F8196D"/>
    <w:multiLevelType w:val="multilevel"/>
    <w:tmpl w:val="22B0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4745542">
    <w:abstractNumId w:val="1"/>
  </w:num>
  <w:num w:numId="2" w16cid:durableId="1202209154">
    <w:abstractNumId w:val="0"/>
  </w:num>
  <w:num w:numId="3" w16cid:durableId="892470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FF"/>
    <w:rsid w:val="00154EE3"/>
    <w:rsid w:val="008B74B4"/>
    <w:rsid w:val="00B803FF"/>
    <w:rsid w:val="00D5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20826"/>
  <w15:chartTrackingRefBased/>
  <w15:docId w15:val="{CF022406-9B08-4590-97DD-A589457F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0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0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03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0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03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0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0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0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0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03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03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03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03F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03F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03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03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03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03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0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80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0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80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0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803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03F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03F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03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803F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803FF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B803FF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80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ain.press/blogs/554714-5547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3CA14-4AFD-44CB-90F2-FB57F31EF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683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2026-04-14T07:10:00Z</dcterms:created>
  <dcterms:modified xsi:type="dcterms:W3CDTF">2026-04-14T07:28:00Z</dcterms:modified>
</cp:coreProperties>
</file>